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C378A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18931004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BC378A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BC378A" w:rsidRPr="00BC378A">
        <w:rPr>
          <w:b/>
          <w:bCs/>
        </w:rPr>
        <w:t>FOURNITURE DE PAINS ET VIENNOISERIES FRAICHES POUR LE GHT TOURAINE VAL DE LOIRE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BC378A">
        <w:rPr>
          <w:rFonts w:ascii="Arial" w:hAnsi="Arial"/>
        </w:rPr>
        <w:t>Du 1/01/2026 au 31/12/2026 renouvelable 3 fis 12 mois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 xml:space="preserve">articles </w:t>
      </w:r>
      <w:proofErr w:type="spellStart"/>
      <w:r w:rsidR="005301B9" w:rsidRPr="006C6EA7">
        <w:t>articles</w:t>
      </w:r>
      <w:proofErr w:type="spellEnd"/>
      <w:r w:rsidR="005301B9" w:rsidRPr="006C6EA7">
        <w:t xml:space="preserve"> </w:t>
      </w:r>
      <w:r w:rsidR="005301B9" w:rsidRPr="006C6EA7">
        <w:rPr>
          <w:rFonts w:cs="Arial"/>
          <w:szCs w:val="22"/>
        </w:rPr>
        <w:t xml:space="preserve">R2161-2 à R2161-5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C378A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C378A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BC378A">
        <w:rPr>
          <w:rFonts w:ascii="Arial" w:hAnsi="Arial"/>
        </w:rPr>
        <w:t xml:space="preserve">2025-GHT-HOTEL-145 </w:t>
      </w:r>
      <w:r w:rsidRPr="001629E9">
        <w:rPr>
          <w:rFonts w:ascii="Arial" w:hAnsi="Arial"/>
        </w:rPr>
        <w:t xml:space="preserve">du </w:t>
      </w:r>
      <w:r w:rsidR="00BC378A">
        <w:rPr>
          <w:rFonts w:ascii="Arial" w:hAnsi="Arial"/>
        </w:rPr>
        <w:t>15/09/2025</w:t>
      </w:r>
      <w:bookmarkStart w:id="4" w:name="_GoBack"/>
      <w:bookmarkEnd w:id="4"/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BC378A">
        <w:rPr>
          <w:rFonts w:ascii="Arial" w:hAnsi="Arial"/>
        </w:rPr>
      </w:r>
      <w:r w:rsidR="00BC378A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6C6EA7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C6EA7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BC378A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18726D2A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6BAC-9451-4327-8300-5D1D9D2D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908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5897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MICHENEAU LAURENCE</cp:lastModifiedBy>
  <cp:revision>3</cp:revision>
  <cp:lastPrinted>2024-02-14T13:43:00Z</cp:lastPrinted>
  <dcterms:created xsi:type="dcterms:W3CDTF">2025-09-09T11:47:00Z</dcterms:created>
  <dcterms:modified xsi:type="dcterms:W3CDTF">2025-09-09T11:50:00Z</dcterms:modified>
</cp:coreProperties>
</file>